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bidi w:val="0"/>
        <w:spacing w:lineRule="auto" w:line="276" w:before="0" w:after="140"/>
        <w:ind w:hanging="0" w:start="0" w:end="-397"/>
        <w:jc w:val="start"/>
        <w:rPr>
          <w:rFonts w:ascii="AvenirNext LT Pro Regular" w:hAnsi="AvenirNext LT Pro Regular"/>
          <w:color w:val="C9211E"/>
        </w:rPr>
      </w:pPr>
      <w:r>
        <w:rPr>
          <w:rFonts w:ascii="AvenirNext LT Pro Regular" w:hAnsi="AvenirNext LT Pro Regular"/>
          <w:color w:val="C9211E"/>
        </w:rPr>
        <w:t>Pressemitteilung</w:t>
      </w:r>
    </w:p>
    <w:p>
      <w:pPr>
        <w:pStyle w:val="Heading2"/>
        <w:keepNext w:val="true"/>
        <w:bidi w:val="0"/>
        <w:spacing w:lineRule="auto" w:line="276" w:before="0" w:after="140"/>
        <w:ind w:hanging="0" w:start="0" w:end="-397"/>
        <w:jc w:val="start"/>
        <w:rPr>
          <w:rFonts w:ascii="AvenirNext LT Pro Regular" w:hAnsi="AvenirNext LT Pro Regular"/>
          <w:color w:val="C9211E"/>
        </w:rPr>
      </w:pPr>
      <w:r>
        <w:rPr>
          <w:rFonts w:ascii="AvenirNext LT Pro Regular" w:hAnsi="AvenirNext LT Pro Regular"/>
          <w:color w:val="C9211E"/>
        </w:rPr>
        <w:t>Sieben Jahre Bodenfruchtbarkeitsfonds: Pilotprojekt zeigt messbar erfolgreiche Bodenentwicklung</w:t>
      </w:r>
    </w:p>
    <w:p>
      <w:pPr>
        <w:pStyle w:val="BodyText"/>
        <w:bidi w:val="0"/>
        <w:jc w:val="start"/>
        <w:rPr/>
      </w:pPr>
      <w:r>
        <w:rPr>
          <w:rStyle w:val="Strong"/>
        </w:rPr>
        <w:t>30 Bio-Betriebe in der Schweiz, Deutschland, Österreich und Liechtenstein steigern Bodenfruchtbarkeit deutlich – Abschlussbericht präsentiert Ergebnisse und Wirkung</w:t>
      </w:r>
    </w:p>
    <w:p>
      <w:pPr>
        <w:pStyle w:val="Normal"/>
        <w:bidi w:val="0"/>
        <w:jc w:val="start"/>
        <w:rPr/>
      </w:pPr>
      <w:r>
        <w:rPr/>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Lead</w:t>
      </w:r>
    </w:p>
    <w:p>
      <w:pPr>
        <w:pStyle w:val="BodyText"/>
        <w:bidi w:val="0"/>
        <w:jc w:val="start"/>
        <w:rPr>
          <w:rFonts w:ascii="AvenirNext LT Pro Regular" w:hAnsi="AvenirNext LT Pro Regular"/>
          <w:i/>
          <w:i/>
          <w:iCs/>
        </w:rPr>
      </w:pPr>
      <w:r>
        <w:rPr>
          <w:i/>
          <w:iCs/>
        </w:rPr>
        <w:t>Der Bodenfruchtbarkeitsfonds (BFF) der Bio-Stiftung Schweiz präsentiert nach sieben Jahren Pilotphase seinen Abschlussbericht – und zieht eine durchweg positive Bilanz: Die Böden haben sich hinsichtlich Bodenstruktur, Krümeltiefe und Humusgehalt messbar verbessert. In vier Ländern konnte gezeigt werden, dass fruchtbare Böden innerhalb kurzer Zeit wiederaufgebaut werden können, wenn Landwirtschaft, Wissenschaft, Zivilgesellschaft und Wirtschaft zusammenwirken. Zusätzlich erreichte das Projekt Tausende Menschen durch Bildungsangebote, Hoftage und Publikationen und schuf ein neues, länderübergreifendes Netzwerk für lebendige Böden.</w:t>
      </w:r>
    </w:p>
    <w:p>
      <w:pPr>
        <w:pStyle w:val="Normal"/>
        <w:bidi w:val="0"/>
        <w:jc w:val="start"/>
        <w:rPr/>
      </w:pPr>
      <w:r>
        <w:rPr/>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Hintergrund: Warum dieses Projekt entstand</w:t>
      </w:r>
    </w:p>
    <w:p>
      <w:pPr>
        <w:pStyle w:val="BodyText"/>
        <w:bidi w:val="0"/>
        <w:jc w:val="start"/>
        <w:rPr>
          <w:rFonts w:ascii="AvenirNext LT Pro Regular" w:hAnsi="AvenirNext LT Pro Regular"/>
        </w:rPr>
      </w:pPr>
      <w:r>
        <w:rPr/>
        <w:t>Die Fruchtbarkeit der Böden nimmt weltweit ab – zuweilen auch im Biolandbau. Gleichzeitig gelten lebendige Böden als zentrale Grundlage für Ernährungssicherheit, Biodiversität und Klimaschutz. Vor diesem Hintergrund entwickelte die Bio-Stiftung Schweiz ab 2014 gemeinsam mit Fachleuten und Praxispartnern die Idee eines innovativen Fonds, der sowohl Forschungserkenntnisse aus der Praxis liefert als auch für Bäuerinnen und Bauern konkrete Freiräume für die Bodenentwicklung schafft.</w:t>
      </w:r>
    </w:p>
    <w:p>
      <w:pPr>
        <w:pStyle w:val="BodyText"/>
        <w:bidi w:val="0"/>
        <w:jc w:val="start"/>
        <w:rPr>
          <w:rFonts w:ascii="AvenirNext LT Pro Regular" w:hAnsi="AvenirNext LT Pro Regular"/>
        </w:rPr>
      </w:pPr>
      <w:r>
        <w:rPr/>
        <w:t>2018 startete die Pilotphase I des Bodenfruchtbarkeitsfonds, später erweitert auf sieben Jahre. Entwickelt, geplant, begleitet und koordiniert wurde das Projekt von der Bio-Stiftung Schweiz, begleitet durch den Bodenexperten Dr. Ulrich Hampl und getragen von Betrieben in der Schweiz, Deutschland, Österreich und Liechtenstein.</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Ergebnisse: Deutliche Verbesserung von Bodenstruktur und Humus</w:t>
      </w:r>
    </w:p>
    <w:p>
      <w:pPr>
        <w:pStyle w:val="BodyText"/>
        <w:bidi w:val="0"/>
        <w:jc w:val="start"/>
        <w:rPr>
          <w:rFonts w:ascii="AvenirNext LT Pro Regular" w:hAnsi="AvenirNext LT Pro Regular"/>
        </w:rPr>
      </w:pPr>
      <w:r>
        <w:rPr/>
        <w:t>Die begleitenden Spatendiagnosen sowie Laboranalysen dokumentieren eine substanzielle Verbesserung der Böden auf allen Partnerbetrieben.</w:t>
      </w:r>
    </w:p>
    <w:p>
      <w:pPr>
        <w:pStyle w:val="Heading3"/>
        <w:bidi w:val="0"/>
        <w:spacing w:lineRule="auto" w:line="276" w:before="0" w:after="140"/>
        <w:ind w:hanging="0" w:start="0"/>
        <w:jc w:val="start"/>
        <w:rPr/>
      </w:pPr>
      <w:r>
        <w:rPr>
          <w:rStyle w:val="Strong"/>
          <w:rFonts w:ascii="AvenirNext LT Pro Regular" w:hAnsi="AvenirNext LT Pro Regular"/>
          <w:b/>
          <w:bCs/>
        </w:rPr>
        <w:t>Krümeltiefe: +8 cm in neun Jahren</w:t>
      </w:r>
    </w:p>
    <w:p>
      <w:pPr>
        <w:pStyle w:val="BodyText"/>
        <w:bidi w:val="0"/>
        <w:jc w:val="start"/>
        <w:rPr>
          <w:rFonts w:ascii="AvenirNext LT Pro Regular" w:hAnsi="AvenirNext LT Pro Regular"/>
        </w:rPr>
      </w:pPr>
      <w:r>
        <w:rPr/>
        <w:t>Die durchschnittliche Krümeltiefe – ein zentraler Indikator für Bodenaktivität und Strukturstabilität – hat sich von 2018 bis 2024 um fast acht Zentimeter vertieft.</w:t>
      </w:r>
    </w:p>
    <w:p>
      <w:pPr>
        <w:pStyle w:val="Heading3"/>
        <w:bidi w:val="0"/>
        <w:spacing w:lineRule="auto" w:line="276" w:before="0" w:after="140"/>
        <w:ind w:hanging="0" w:start="0"/>
        <w:jc w:val="start"/>
        <w:rPr/>
      </w:pPr>
      <w:r>
        <w:rPr>
          <w:rStyle w:val="Strong"/>
          <w:rFonts w:ascii="AvenirNext LT Pro Regular" w:hAnsi="AvenirNext LT Pro Regular"/>
          <w:b/>
          <w:bCs/>
        </w:rPr>
        <w:t>Unterkrume überholt Oberkrume</w:t>
      </w:r>
    </w:p>
    <w:p>
      <w:pPr>
        <w:pStyle w:val="BodyText"/>
        <w:bidi w:val="0"/>
        <w:jc w:val="start"/>
        <w:rPr>
          <w:rFonts w:ascii="AvenirNext LT Pro Regular" w:hAnsi="AvenirNext LT Pro Regular"/>
        </w:rPr>
      </w:pPr>
      <w:r>
        <w:rPr/>
        <w:t>Erstmals zeigen die Böden in der Unterkrume (15–30 cm) bessere Gefügebewertungen als in der Oberkrume (0-15 cm). Dies ist entscheidend für:</w:t>
      </w:r>
    </w:p>
    <w:p>
      <w:pPr>
        <w:pStyle w:val="BodyText"/>
        <w:numPr>
          <w:ilvl w:val="0"/>
          <w:numId w:val="1"/>
        </w:numPr>
        <w:tabs>
          <w:tab w:val="left" w:pos="709" w:leader="none"/>
        </w:tabs>
        <w:bidi w:val="0"/>
        <w:ind w:hanging="283" w:start="709"/>
        <w:jc w:val="start"/>
        <w:rPr>
          <w:rFonts w:ascii="AvenirNext LT Pro Regular" w:hAnsi="AvenirNext LT Pro Regular"/>
        </w:rPr>
      </w:pPr>
      <w:r>
        <w:rPr/>
        <w:t>Durchwurzelbarkeit</w:t>
      </w:r>
    </w:p>
    <w:p>
      <w:pPr>
        <w:pStyle w:val="BodyText"/>
        <w:numPr>
          <w:ilvl w:val="0"/>
          <w:numId w:val="1"/>
        </w:numPr>
        <w:tabs>
          <w:tab w:val="left" w:pos="709" w:leader="none"/>
        </w:tabs>
        <w:bidi w:val="0"/>
        <w:ind w:hanging="283" w:start="709"/>
        <w:jc w:val="start"/>
        <w:rPr>
          <w:rFonts w:ascii="AvenirNext LT Pro Regular" w:hAnsi="AvenirNext LT Pro Regular"/>
        </w:rPr>
      </w:pPr>
      <w:r>
        <w:rPr/>
        <w:t>Luft- und Wasserspeichervermögen</w:t>
      </w:r>
    </w:p>
    <w:p>
      <w:pPr>
        <w:pStyle w:val="BodyText"/>
        <w:numPr>
          <w:ilvl w:val="0"/>
          <w:numId w:val="1"/>
        </w:numPr>
        <w:tabs>
          <w:tab w:val="left" w:pos="709" w:leader="none"/>
        </w:tabs>
        <w:bidi w:val="0"/>
        <w:ind w:hanging="283" w:start="709"/>
        <w:jc w:val="start"/>
        <w:rPr>
          <w:rFonts w:ascii="AvenirNext LT Pro Regular" w:hAnsi="AvenirNext LT Pro Regular"/>
        </w:rPr>
      </w:pPr>
      <w:r>
        <w:rPr/>
        <w:t>Widerstandskraft gegen Erosion und Extremwetter</w:t>
      </w:r>
    </w:p>
    <w:p>
      <w:pPr>
        <w:pStyle w:val="BodyText"/>
        <w:numPr>
          <w:ilvl w:val="0"/>
          <w:numId w:val="1"/>
        </w:numPr>
        <w:tabs>
          <w:tab w:val="left" w:pos="709" w:leader="none"/>
        </w:tabs>
        <w:bidi w:val="0"/>
        <w:ind w:hanging="283" w:start="709"/>
        <w:jc w:val="start"/>
        <w:rPr>
          <w:rFonts w:ascii="AvenirNext LT Pro Regular" w:hAnsi="AvenirNext LT Pro Regular"/>
        </w:rPr>
      </w:pPr>
      <w:r>
        <w:rPr/>
        <w:t>Nährstoffverfügbarkeit</w:t>
      </w:r>
    </w:p>
    <w:p>
      <w:pPr>
        <w:pStyle w:val="Heading3"/>
        <w:bidi w:val="0"/>
        <w:spacing w:lineRule="auto" w:line="276" w:before="0" w:after="140"/>
        <w:ind w:hanging="0" w:start="0"/>
        <w:jc w:val="start"/>
        <w:rPr/>
      </w:pPr>
      <w:r>
        <w:rPr>
          <w:rStyle w:val="Strong"/>
          <w:rFonts w:ascii="AvenirNext LT Pro Regular" w:hAnsi="AvenirNext LT Pro Regular"/>
          <w:b/>
          <w:bCs/>
        </w:rPr>
        <w:t>Humusaufbau: +10,5 % in vier Jahren</w:t>
      </w:r>
    </w:p>
    <w:p>
      <w:pPr>
        <w:pStyle w:val="BodyText"/>
        <w:bidi w:val="0"/>
        <w:jc w:val="start"/>
        <w:rPr>
          <w:rFonts w:ascii="AvenirNext LT Pro Regular" w:hAnsi="AvenirNext LT Pro Regular"/>
        </w:rPr>
      </w:pPr>
      <w:r>
        <w:rPr/>
        <w:t>Auf Basis der GPS-referenzierten Bodenanalysen von 2020 und 2024 konnte der durchschnittliche Humusgehalt von 3,52 % auf 3,89 % gesteigert werden. Diese relative Zunahme von 10,5 % übertrifft das international anerkannte „4-per-1000“-Ziel des Pariser Klimaabkommens um mehr als das Sechsfache.</w:t>
      </w:r>
    </w:p>
    <w:p>
      <w:pPr>
        <w:pStyle w:val="Heading3"/>
        <w:bidi w:val="0"/>
        <w:spacing w:lineRule="auto" w:line="276" w:before="0" w:after="140"/>
        <w:ind w:hanging="0" w:start="0"/>
        <w:jc w:val="start"/>
        <w:rPr/>
      </w:pPr>
      <w:r>
        <w:rPr>
          <w:rStyle w:val="Strong"/>
          <w:rFonts w:ascii="AvenirNext LT Pro Regular" w:hAnsi="AvenirNext LT Pro Regular"/>
          <w:b/>
          <w:bCs/>
        </w:rPr>
        <w:t>Bessere Resilienz bei Extremwetter</w:t>
      </w:r>
    </w:p>
    <w:p>
      <w:pPr>
        <w:pStyle w:val="BodyText"/>
        <w:bidi w:val="0"/>
        <w:jc w:val="start"/>
        <w:rPr>
          <w:rFonts w:ascii="AvenirNext LT Pro Regular" w:hAnsi="AvenirNext LT Pro Regular"/>
        </w:rPr>
      </w:pPr>
      <w:r>
        <w:rPr/>
        <w:t>Viele Partnerhöfe berichten in ihren Rechenschaftsberichten von:</w:t>
      </w:r>
    </w:p>
    <w:p>
      <w:pPr>
        <w:pStyle w:val="BodyText"/>
        <w:numPr>
          <w:ilvl w:val="0"/>
          <w:numId w:val="2"/>
        </w:numPr>
        <w:tabs>
          <w:tab w:val="left" w:pos="709" w:leader="none"/>
        </w:tabs>
        <w:bidi w:val="0"/>
        <w:ind w:hanging="283" w:start="709"/>
        <w:jc w:val="start"/>
        <w:rPr>
          <w:rFonts w:ascii="AvenirNext LT Pro Regular" w:hAnsi="AvenirNext LT Pro Regular"/>
        </w:rPr>
      </w:pPr>
      <w:r>
        <w:rPr/>
        <w:t>deutlich verbesserter Wasserhaltefähigkeit</w:t>
      </w:r>
    </w:p>
    <w:p>
      <w:pPr>
        <w:pStyle w:val="BodyText"/>
        <w:numPr>
          <w:ilvl w:val="0"/>
          <w:numId w:val="2"/>
        </w:numPr>
        <w:tabs>
          <w:tab w:val="left" w:pos="709" w:leader="none"/>
        </w:tabs>
        <w:bidi w:val="0"/>
        <w:ind w:hanging="283" w:start="709"/>
        <w:jc w:val="start"/>
        <w:rPr>
          <w:rFonts w:ascii="AvenirNext LT Pro Regular" w:hAnsi="AvenirNext LT Pro Regular"/>
        </w:rPr>
      </w:pPr>
      <w:r>
        <w:rPr/>
        <w:t>geringerer Verschlämmungsgefahr bei Starkregen</w:t>
      </w:r>
    </w:p>
    <w:p>
      <w:pPr>
        <w:pStyle w:val="BodyText"/>
        <w:numPr>
          <w:ilvl w:val="0"/>
          <w:numId w:val="2"/>
        </w:numPr>
        <w:tabs>
          <w:tab w:val="left" w:pos="709" w:leader="none"/>
        </w:tabs>
        <w:bidi w:val="0"/>
        <w:ind w:hanging="283" w:start="709"/>
        <w:jc w:val="start"/>
        <w:rPr>
          <w:rFonts w:ascii="AvenirNext LT Pro Regular" w:hAnsi="AvenirNext LT Pro Regular"/>
        </w:rPr>
      </w:pPr>
      <w:r>
        <w:rPr/>
        <w:t>schnellerer Erholung nach Trockenperioden</w:t>
      </w:r>
    </w:p>
    <w:p>
      <w:pPr>
        <w:pStyle w:val="BodyText"/>
        <w:bidi w:val="0"/>
        <w:jc w:val="start"/>
        <w:rPr>
          <w:rFonts w:ascii="AvenirNext LT Pro Regular" w:hAnsi="AvenirNext LT Pro Regular"/>
        </w:rPr>
      </w:pPr>
      <w:r>
        <w:rPr/>
        <w:t>Diese Beobachtungen decken sich mit den Messdaten der Spatendiagnosen.</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 xml:space="preserve">Projektmethoden: </w:t>
        <w:br/>
        <w:t>Lernen, Austausch, Freiräume</w:t>
      </w:r>
    </w:p>
    <w:p>
      <w:pPr>
        <w:pStyle w:val="BodyText"/>
        <w:bidi w:val="0"/>
        <w:jc w:val="start"/>
        <w:rPr>
          <w:rFonts w:ascii="AvenirNext LT Pro Regular" w:hAnsi="AvenirNext LT Pro Regular"/>
        </w:rPr>
      </w:pPr>
      <w:r>
        <w:rPr/>
        <w:t>Der Bodenfruchtbarkeitsfonds setzte konsequent auf eine Kombination aus fachlicher Begleitung, methodischer Weiterentwicklung, finanziellen Freiräumen und sozialer Kooperation zwischen den Betrieben.</w:t>
      </w:r>
    </w:p>
    <w:p>
      <w:pPr>
        <w:pStyle w:val="Heading3"/>
        <w:bidi w:val="0"/>
        <w:spacing w:lineRule="auto" w:line="276" w:before="0" w:after="140"/>
        <w:ind w:hanging="0" w:start="0"/>
        <w:jc w:val="start"/>
        <w:rPr/>
      </w:pPr>
      <w:r>
        <w:rPr>
          <w:rStyle w:val="Strong"/>
          <w:rFonts w:ascii="AvenirNext LT Pro Regular" w:hAnsi="AvenirNext LT Pro Regular"/>
          <w:b/>
          <w:bCs/>
        </w:rPr>
        <w:t>Bodenentwicklungsgespräche</w:t>
      </w:r>
    </w:p>
    <w:p>
      <w:pPr>
        <w:pStyle w:val="BodyText"/>
        <w:bidi w:val="0"/>
        <w:jc w:val="start"/>
        <w:rPr>
          <w:rFonts w:ascii="AvenirNext LT Pro Regular" w:hAnsi="AvenirNext LT Pro Regular"/>
        </w:rPr>
      </w:pPr>
      <w:r>
        <w:rPr/>
        <w:t>Moderierte Gespräche auf den Höfen förderten kollektives Lernen, gegenseitige Beobachtung und gemeinsame Reflexion. Der Wunsch nach Austausch kam aus dem Kreis der Bauern selbst.</w:t>
      </w:r>
    </w:p>
    <w:p>
      <w:pPr>
        <w:pStyle w:val="Heading3"/>
        <w:bidi w:val="0"/>
        <w:spacing w:lineRule="auto" w:line="276" w:before="0" w:after="140"/>
        <w:ind w:hanging="0" w:start="0"/>
        <w:jc w:val="start"/>
        <w:rPr/>
      </w:pPr>
      <w:r>
        <w:rPr>
          <w:rStyle w:val="Strong"/>
          <w:rFonts w:ascii="AvenirNext LT Pro Regular" w:hAnsi="AvenirNext LT Pro Regular"/>
          <w:b/>
          <w:bCs/>
        </w:rPr>
        <w:t>Hoftage, Fachtage und Bildung</w:t>
      </w:r>
    </w:p>
    <w:p>
      <w:pPr>
        <w:pStyle w:val="BodyText"/>
        <w:numPr>
          <w:ilvl w:val="0"/>
          <w:numId w:val="3"/>
        </w:numPr>
        <w:tabs>
          <w:tab w:val="left" w:pos="709" w:leader="none"/>
        </w:tabs>
        <w:bidi w:val="0"/>
        <w:ind w:hanging="283" w:start="709"/>
        <w:jc w:val="start"/>
        <w:rPr/>
      </w:pPr>
      <w:r>
        <w:rPr/>
        <w:t xml:space="preserve">Über </w:t>
      </w:r>
      <w:r>
        <w:rPr>
          <w:rStyle w:val="Strong"/>
        </w:rPr>
        <w:t>12'000 Besucherinnen und Besucher</w:t>
      </w:r>
      <w:r>
        <w:rPr/>
        <w:t xml:space="preserve"> nahmen an Boden-Hoftagen teil.</w:t>
      </w:r>
    </w:p>
    <w:p>
      <w:pPr>
        <w:pStyle w:val="BodyText"/>
        <w:numPr>
          <w:ilvl w:val="0"/>
          <w:numId w:val="3"/>
        </w:numPr>
        <w:tabs>
          <w:tab w:val="left" w:pos="709" w:leader="none"/>
        </w:tabs>
        <w:bidi w:val="0"/>
        <w:ind w:hanging="283" w:start="709"/>
        <w:jc w:val="start"/>
        <w:rPr>
          <w:rFonts w:ascii="AvenirNext LT Pro Regular" w:hAnsi="AvenirNext LT Pro Regular"/>
        </w:rPr>
      </w:pPr>
      <w:r>
        <w:rPr/>
        <w:t>Fachtage vermittelten praktische Methoden wie Bodenlockerung, Gründüngung und Kompostqualität.</w:t>
      </w:r>
    </w:p>
    <w:p>
      <w:pPr>
        <w:pStyle w:val="BodyText"/>
        <w:numPr>
          <w:ilvl w:val="0"/>
          <w:numId w:val="3"/>
        </w:numPr>
        <w:tabs>
          <w:tab w:val="left" w:pos="709" w:leader="none"/>
        </w:tabs>
        <w:bidi w:val="0"/>
        <w:ind w:hanging="283" w:start="709"/>
        <w:jc w:val="start"/>
        <w:rPr>
          <w:rFonts w:ascii="AvenirNext LT Pro Regular" w:hAnsi="AvenirNext LT Pro Regular"/>
        </w:rPr>
      </w:pPr>
      <w:r>
        <w:rPr/>
        <w:t>Ein Werkzeugkoffer für Bodenpädagogik wurde entwickelt – anwendbar auch für Schulklassen.</w:t>
      </w:r>
    </w:p>
    <w:p>
      <w:pPr>
        <w:pStyle w:val="BodyText"/>
        <w:numPr>
          <w:ilvl w:val="0"/>
          <w:numId w:val="3"/>
        </w:numPr>
        <w:tabs>
          <w:tab w:val="left" w:pos="709" w:leader="none"/>
        </w:tabs>
        <w:bidi w:val="0"/>
        <w:ind w:hanging="283" w:start="709"/>
        <w:jc w:val="start"/>
        <w:rPr>
          <w:rFonts w:ascii="AvenirNext LT Pro Regular" w:hAnsi="AvenirNext LT Pro Regular"/>
        </w:rPr>
      </w:pPr>
      <w:r>
        <w:rPr/>
        <w:t>Zehn Menschen absolvierten die Basisausbildung zu «Bodenbotschaftern».</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Gesellschaftliche Wirkung und Öffentlichkeitsarbeit</w:t>
      </w:r>
    </w:p>
    <w:p>
      <w:pPr>
        <w:pStyle w:val="BodyText"/>
        <w:bidi w:val="0"/>
        <w:jc w:val="start"/>
        <w:rPr>
          <w:rFonts w:ascii="AvenirNext LT Pro Regular" w:hAnsi="AvenirNext LT Pro Regular"/>
        </w:rPr>
      </w:pPr>
      <w:r>
        <w:rPr/>
        <w:t>Der BFF schuf ein neues Bewusstsein für Bodenfruchtbarkeit als gesamtgesellschaftliche Verantwortung. Das Projekt wirkte weit über die beteiligten Betriebe hinaus:</w:t>
      </w:r>
    </w:p>
    <w:p>
      <w:pPr>
        <w:pStyle w:val="BodyText"/>
        <w:numPr>
          <w:ilvl w:val="0"/>
          <w:numId w:val="4"/>
        </w:numPr>
        <w:tabs>
          <w:tab w:val="left" w:pos="709" w:leader="none"/>
        </w:tabs>
        <w:bidi w:val="0"/>
        <w:ind w:hanging="283" w:start="709"/>
        <w:jc w:val="start"/>
        <w:rPr>
          <w:rFonts w:ascii="AvenirNext LT Pro Regular" w:hAnsi="AvenirNext LT Pro Regular"/>
        </w:rPr>
      </w:pPr>
      <w:r>
        <w:rPr/>
        <w:t>Zahlreiche Medienbeiträge in Print, Online und Filmen</w:t>
      </w:r>
    </w:p>
    <w:p>
      <w:pPr>
        <w:pStyle w:val="BodyText"/>
        <w:numPr>
          <w:ilvl w:val="0"/>
          <w:numId w:val="4"/>
        </w:numPr>
        <w:tabs>
          <w:tab w:val="left" w:pos="709" w:leader="none"/>
        </w:tabs>
        <w:bidi w:val="0"/>
        <w:ind w:hanging="283" w:start="709"/>
        <w:jc w:val="start"/>
        <w:rPr>
          <w:rFonts w:ascii="AvenirNext LT Pro Regular" w:hAnsi="AvenirNext LT Pro Regular"/>
        </w:rPr>
      </w:pPr>
      <w:r>
        <w:rPr/>
        <w:t>Publikationen und Fachartikel</w:t>
      </w:r>
    </w:p>
    <w:p>
      <w:pPr>
        <w:pStyle w:val="BodyText"/>
        <w:numPr>
          <w:ilvl w:val="0"/>
          <w:numId w:val="4"/>
        </w:numPr>
        <w:tabs>
          <w:tab w:val="left" w:pos="709" w:leader="none"/>
        </w:tabs>
        <w:bidi w:val="0"/>
        <w:ind w:hanging="283" w:start="709"/>
        <w:jc w:val="start"/>
        <w:rPr>
          <w:rFonts w:ascii="AvenirNext LT Pro Regular" w:hAnsi="AvenirNext LT Pro Regular"/>
        </w:rPr>
      </w:pPr>
      <w:r>
        <w:rPr/>
        <w:t>Das Magazin des Bodenfruchtbarkeitsfonds</w:t>
      </w:r>
    </w:p>
    <w:p>
      <w:pPr>
        <w:pStyle w:val="BodyText"/>
        <w:numPr>
          <w:ilvl w:val="0"/>
          <w:numId w:val="4"/>
        </w:numPr>
        <w:tabs>
          <w:tab w:val="left" w:pos="709" w:leader="none"/>
        </w:tabs>
        <w:bidi w:val="0"/>
        <w:ind w:hanging="283" w:start="709"/>
        <w:jc w:val="start"/>
        <w:rPr>
          <w:rFonts w:ascii="AvenirNext LT Pro Regular" w:hAnsi="AvenirNext LT Pro Regular"/>
        </w:rPr>
      </w:pPr>
      <w:r>
        <w:rPr/>
        <w:t>Kulturprojekte wie das «Ackerkonzert» und die malerischen Hofporträts</w:t>
      </w:r>
    </w:p>
    <w:p>
      <w:pPr>
        <w:pStyle w:val="BodyText"/>
        <w:bidi w:val="0"/>
        <w:jc w:val="start"/>
        <w:rPr>
          <w:rFonts w:ascii="AvenirNext LT Pro Regular" w:hAnsi="AvenirNext LT Pro Regular"/>
        </w:rPr>
      </w:pPr>
      <w:r>
        <w:rPr/>
        <w:t>Das länderübergreifende Netzwerk aus Betrieben, Beraterinnen und Berater, Stiftungen, Botschafterinnen und Botschafter sowie Unternehmen wurde zu einem zentralen Erfolgsfaktor.</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Kooperationen: Klimaschutz und Gemeinwohlleistungen</w:t>
      </w:r>
    </w:p>
    <w:p>
      <w:pPr>
        <w:pStyle w:val="Heading3"/>
        <w:bidi w:val="0"/>
        <w:spacing w:lineRule="auto" w:line="276" w:before="0" w:after="140"/>
        <w:ind w:hanging="0" w:start="0"/>
        <w:jc w:val="start"/>
        <w:rPr/>
      </w:pPr>
      <w:r>
        <w:rPr>
          <w:rStyle w:val="Strong"/>
          <w:rFonts w:ascii="AvenirNext LT Pro Regular" w:hAnsi="AvenirNext LT Pro Regular"/>
          <w:b/>
          <w:bCs/>
        </w:rPr>
        <w:t>Zusammenarbeit mit myclimate Schweiz</w:t>
      </w:r>
    </w:p>
    <w:p>
      <w:pPr>
        <w:pStyle w:val="BodyText"/>
        <w:bidi w:val="0"/>
        <w:jc w:val="start"/>
        <w:rPr>
          <w:rFonts w:ascii="AvenirNext LT Pro Regular" w:hAnsi="AvenirNext LT Pro Regular"/>
        </w:rPr>
      </w:pPr>
      <w:r>
        <w:rPr/>
        <w:t>Dank präziser Humusmessungen konnte die CO₂-Bindung der beteiligten Höfe berechnet und als Verified Emission Reductions (VERs) verkauft werden. Dies öffnete neue Finanzierungswege über Klimaschutzspenden.</w:t>
      </w:r>
    </w:p>
    <w:p>
      <w:pPr>
        <w:pStyle w:val="Heading3"/>
        <w:bidi w:val="0"/>
        <w:spacing w:lineRule="auto" w:line="276" w:before="0" w:after="140"/>
        <w:ind w:hanging="0" w:start="0"/>
        <w:jc w:val="start"/>
        <w:rPr/>
      </w:pPr>
      <w:r>
        <w:rPr>
          <w:rStyle w:val="Strong"/>
          <w:rFonts w:ascii="AvenirNext LT Pro Regular" w:hAnsi="AvenirNext LT Pro Regular"/>
          <w:b/>
          <w:bCs/>
        </w:rPr>
        <w:t>Zusammenarbeit mit Regionalwert Leistungen GmbH</w:t>
      </w:r>
    </w:p>
    <w:p>
      <w:pPr>
        <w:pStyle w:val="BodyText"/>
        <w:bidi w:val="0"/>
        <w:jc w:val="start"/>
        <w:rPr>
          <w:rFonts w:ascii="AvenirNext LT Pro Regular" w:hAnsi="AvenirNext LT Pro Regular"/>
        </w:rPr>
      </w:pPr>
      <w:r>
        <w:rPr/>
        <w:t>19 Betriebe nutzten «Richtig Rechnen», ein Instrument, das ökologische und soziale Gemeinwohlleistungen sichtbar und buchhalterisch erfassbar macht – ein wichtiger Beitrag zur Debatte, um zukünftige Agrarfördermodelle zu gestalten.</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Zitate</w:t>
      </w:r>
    </w:p>
    <w:p>
      <w:pPr>
        <w:pStyle w:val="BodyText"/>
        <w:bidi w:val="0"/>
        <w:spacing w:lineRule="auto" w:line="276" w:before="0" w:after="140"/>
        <w:jc w:val="start"/>
        <w:rPr/>
      </w:pPr>
      <w:r>
        <w:rPr>
          <w:rStyle w:val="Strong"/>
        </w:rPr>
        <w:t>Mathias Forster, Geschäftsführer der Bio-Stiftung Schweiz:</w:t>
      </w:r>
      <w:r>
        <w:rPr/>
        <w:br/>
        <w:t>«Die Ergebnisse zeigen: Bodenfruchtbarkeit ist nicht nur ein erstrebenswertes Ideal, sondern messbar aufbaubar – und das in relativ kurzer Zeit. Das Projekt hat nicht nur Böden verändert, sondern auch Menschen, Betriebe und Regionen miteinander verbunden. Es zeigte sich deutlich: Bodenentwicklung ist Bewusstseinsbildung!»</w:t>
      </w:r>
    </w:p>
    <w:p>
      <w:pPr>
        <w:pStyle w:val="BodyText"/>
        <w:bidi w:val="0"/>
        <w:spacing w:lineRule="auto" w:line="276" w:before="0" w:after="140"/>
        <w:jc w:val="start"/>
        <w:rPr/>
      </w:pPr>
      <w:r>
        <w:rPr>
          <w:rStyle w:val="Strong"/>
        </w:rPr>
        <w:t>Partnerhof Hofgemeinschaft Heggelbach, Florian Reyer:</w:t>
      </w:r>
      <w:r>
        <w:rPr/>
        <w:br/>
        <w:t>«Wir sehen beim Blick in den Boden Veränderung und Verbesserung der Krümelstruktur, auch in sehr kurzer Zeit waren hier deutliche Verbesserungen sichtbar – bei der grossen Trockenheit haben unsere Bestände länger durchgehalten. Wir sehen auch, dass die intensive gedankliche Auseinandersetzung und der Austausch mit Kollegen auch im Rahmen des BFF den Umgang mit dem Boden verändert.»</w:t>
      </w:r>
    </w:p>
    <w:p>
      <w:pPr>
        <w:pStyle w:val="BodyText"/>
        <w:bidi w:val="0"/>
        <w:spacing w:lineRule="auto" w:line="276" w:before="0" w:after="140"/>
        <w:jc w:val="start"/>
        <w:rPr/>
      </w:pPr>
      <w:r>
        <w:rPr>
          <w:rStyle w:val="Strong"/>
        </w:rPr>
        <w:t>myclimate Schweiz, Ian Rothwell:</w:t>
      </w:r>
      <w:r>
        <w:rPr/>
        <w:br/>
        <w:t>«Mit einem ausgereiften Projektsetup, regelmässigen Vor-Ort-Beratungen und starken Partnerschaften lassen sich Klimaschutzprojekte umsetzen, die messbare CO2-Senken in der Landwirtschaft aufbauen.»</w:t>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Ausblick</w:t>
      </w:r>
    </w:p>
    <w:p>
      <w:pPr>
        <w:pStyle w:val="BodyText"/>
        <w:bidi w:val="0"/>
        <w:jc w:val="start"/>
        <w:rPr>
          <w:rFonts w:ascii="AvenirNext LT Pro Regular" w:hAnsi="AvenirNext LT Pro Regular"/>
        </w:rPr>
      </w:pPr>
      <w:r>
        <w:rPr/>
        <w:t>Der Abschlussbericht macht deutlich: Der Aufbau lebendiger Böden ist möglich, reproduzierbar und skalierbar. Die Bio-Stiftung Schweiz empfiehlt, die Erfahrungen des Fonds in künftige Programme und Politiken einzubeziehen und:</w:t>
      </w:r>
    </w:p>
    <w:p>
      <w:pPr>
        <w:pStyle w:val="BodyText"/>
        <w:numPr>
          <w:ilvl w:val="0"/>
          <w:numId w:val="5"/>
        </w:numPr>
        <w:tabs>
          <w:tab w:val="left" w:pos="709" w:leader="none"/>
        </w:tabs>
        <w:bidi w:val="0"/>
        <w:ind w:hanging="283" w:start="709"/>
        <w:jc w:val="start"/>
        <w:rPr>
          <w:rFonts w:ascii="AvenirNext LT Pro Regular" w:hAnsi="AvenirNext LT Pro Regular"/>
        </w:rPr>
      </w:pPr>
      <w:r>
        <w:rPr/>
        <w:t>Freiräume für Bodenverbesserungsprojekte stärker zu fördern.</w:t>
      </w:r>
    </w:p>
    <w:p>
      <w:pPr>
        <w:pStyle w:val="BodyText"/>
        <w:numPr>
          <w:ilvl w:val="0"/>
          <w:numId w:val="5"/>
        </w:numPr>
        <w:tabs>
          <w:tab w:val="left" w:pos="709" w:leader="none"/>
        </w:tabs>
        <w:bidi w:val="0"/>
        <w:ind w:hanging="283" w:start="709"/>
        <w:jc w:val="start"/>
        <w:rPr>
          <w:rFonts w:ascii="AvenirNext LT Pro Regular" w:hAnsi="AvenirNext LT Pro Regular"/>
        </w:rPr>
      </w:pPr>
      <w:r>
        <w:rPr/>
        <w:t>Wissenstransfer und Weiterbildung auszubauen.</w:t>
      </w:r>
    </w:p>
    <w:p>
      <w:pPr>
        <w:pStyle w:val="BodyText"/>
        <w:numPr>
          <w:ilvl w:val="0"/>
          <w:numId w:val="5"/>
        </w:numPr>
        <w:tabs>
          <w:tab w:val="left" w:pos="709" w:leader="none"/>
        </w:tabs>
        <w:bidi w:val="0"/>
        <w:ind w:hanging="283" w:start="709"/>
        <w:jc w:val="start"/>
        <w:rPr>
          <w:rFonts w:ascii="AvenirNext LT Pro Regular" w:hAnsi="AvenirNext LT Pro Regular"/>
        </w:rPr>
      </w:pPr>
      <w:r>
        <w:rPr/>
        <w:t>Gemeinwohlleistungen in der Landwirtschaft sichtbarer, messbar und somit förderfähig zu machen. Der Leistungsrechner der Regionalwert Leistungen GmbH hat sich dabei als das beste, praxistauglichste und fortschrittlichste Werkzeug herausgestellt.</w:t>
      </w:r>
    </w:p>
    <w:p>
      <w:pPr>
        <w:pStyle w:val="BodyText"/>
        <w:numPr>
          <w:ilvl w:val="0"/>
          <w:numId w:val="5"/>
        </w:numPr>
        <w:tabs>
          <w:tab w:val="left" w:pos="709" w:leader="none"/>
        </w:tabs>
        <w:bidi w:val="0"/>
        <w:ind w:hanging="283" w:start="709"/>
        <w:jc w:val="start"/>
        <w:rPr>
          <w:rFonts w:ascii="AvenirNext LT Pro Regular" w:hAnsi="AvenirNext LT Pro Regular"/>
        </w:rPr>
      </w:pPr>
      <w:r>
        <w:rPr/>
        <w:t>die Zusammenarbeit zwischen Landwirtschaft, Forschung und Gesellschaft zu intensivieren</w:t>
      </w:r>
    </w:p>
    <w:p>
      <w:pPr>
        <w:pStyle w:val="BodyText"/>
        <w:bidi w:val="0"/>
        <w:jc w:val="start"/>
        <w:rPr>
          <w:rFonts w:ascii="AvenirNext LT Pro Regular" w:hAnsi="AvenirNext LT Pro Regular"/>
        </w:rPr>
      </w:pPr>
      <w:r>
        <w:rPr/>
        <w:t>Lebendige Böden sind eine wesentliche Voraussetzung für Ernährungssicherheit, Biodiversität und Klimaschutz – und ihre Entwicklung sollte gesamtgesellschaftlich unterstützt werden.</w:t>
      </w:r>
    </w:p>
    <w:p>
      <w:pPr>
        <w:pStyle w:val="Normal"/>
        <w:bidi w:val="0"/>
        <w:jc w:val="start"/>
        <w:rPr>
          <w:rFonts w:ascii="AvenirNext LT Pro Regular" w:hAnsi="AvenirNext LT Pro Regular"/>
        </w:rPr>
      </w:pPr>
      <w:r>
        <w:rPr/>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r>
      <w:r>
        <w:br w:type="page"/>
      </w:r>
    </w:p>
    <w:p>
      <w:pPr>
        <w:pStyle w:val="Heading2"/>
        <w:bidi w:val="0"/>
        <w:spacing w:lineRule="auto" w:line="276" w:before="0" w:after="140"/>
        <w:ind w:hanging="0" w:start="0"/>
        <w:jc w:val="start"/>
        <w:rPr>
          <w:rFonts w:ascii="AvenirNext LT Pro Regular" w:hAnsi="AvenirNext LT Pro Regular"/>
        </w:rPr>
      </w:pPr>
      <w:r>
        <w:rPr>
          <w:rFonts w:ascii="AvenirNext LT Pro Regular" w:hAnsi="AvenirNext LT Pro Regular"/>
        </w:rPr>
        <w:t>Service für Medien</w:t>
      </w:r>
    </w:p>
    <w:p>
      <w:pPr>
        <w:pStyle w:val="BodyText"/>
        <w:bidi w:val="0"/>
        <w:spacing w:lineRule="auto" w:line="276" w:before="0" w:after="140"/>
        <w:jc w:val="start"/>
        <w:rPr/>
      </w:pPr>
      <w:r>
        <w:rPr>
          <w:rStyle w:val="Strong"/>
        </w:rPr>
        <w:t>Download Pressemitteilung (Textdatei):</w:t>
      </w:r>
      <w:r>
        <w:rPr/>
        <w:t xml:space="preserve"> </w:t>
      </w:r>
      <w:hyperlink r:id="rId2">
        <w:r>
          <w:rPr>
            <w:rStyle w:val="Hyperlink"/>
            <w:shd w:fill="auto" w:val="clear"/>
          </w:rPr>
          <w:t>https://www.bio-stiftung.ch/wp-content/uploads/2025/11/Pressemitteilung.docx</w:t>
        </w:r>
      </w:hyperlink>
    </w:p>
    <w:p>
      <w:pPr>
        <w:pStyle w:val="BodyText"/>
        <w:bidi w:val="0"/>
        <w:jc w:val="start"/>
        <w:rPr>
          <w:b/>
          <w:bCs/>
        </w:rPr>
      </w:pPr>
      <w:r>
        <w:rPr>
          <w:b/>
          <w:bCs/>
        </w:rPr>
        <w:t xml:space="preserve">Bildmaterial: </w:t>
      </w:r>
    </w:p>
    <w:p>
      <w:pPr>
        <w:pStyle w:val="BodyText"/>
        <w:bidi w:val="0"/>
        <w:jc w:val="start"/>
        <w:rPr>
          <w:rFonts w:ascii="AvenirNext LT Pro Regular" w:hAnsi="AvenirNext LT Pro Regular"/>
        </w:rPr>
      </w:pPr>
      <w:r>
        <w:rPr/>
        <w:t>Foto Mathias Forster (</w:t>
      </w:r>
      <w:hyperlink r:id="rId3">
        <w:r>
          <w:rPr>
            <w:rStyle w:val="Hyperlink"/>
          </w:rPr>
          <w:t>https://www.bio-stiftung.ch/wp-content/uploads/2025/11/Mathias_Forster_c_Bio-Stiftung_Schweiz.jpg</w:t>
        </w:r>
      </w:hyperlink>
      <w:r>
        <w:rPr/>
        <w:t>)</w:t>
      </w:r>
    </w:p>
    <w:p>
      <w:pPr>
        <w:pStyle w:val="BodyText"/>
        <w:bidi w:val="0"/>
        <w:jc w:val="start"/>
        <w:rPr>
          <w:rFonts w:ascii="AvenirNext LT Pro Regular" w:hAnsi="AvenirNext LT Pro Regular"/>
        </w:rPr>
      </w:pPr>
      <w:r>
        <w:rPr/>
        <w:t>Foto Dr. Ulrich Hampl (</w:t>
      </w:r>
      <w:hyperlink r:id="rId4">
        <w:r>
          <w:rPr>
            <w:rStyle w:val="Hyperlink"/>
          </w:rPr>
          <w:t>https://www.bio-stiftung.ch/wp-content/uploads/2025/11/Uli_Hampl_c_Bio-Stiftung_Schweiz.jpg</w:t>
        </w:r>
      </w:hyperlink>
      <w:r>
        <w:rPr/>
        <w:t>)</w:t>
      </w:r>
    </w:p>
    <w:p>
      <w:pPr>
        <w:pStyle w:val="BodyText"/>
        <w:bidi w:val="0"/>
        <w:spacing w:lineRule="auto" w:line="276" w:before="0" w:after="140"/>
        <w:jc w:val="start"/>
        <w:rPr/>
      </w:pPr>
      <w:r>
        <w:rPr>
          <w:rStyle w:val="Strong"/>
        </w:rPr>
        <w:t>Kontakt:</w:t>
      </w:r>
      <w:r>
        <w:rPr/>
        <w:br/>
        <w:t>Bio-Stiftung Schweiz</w:t>
        <w:br/>
        <w:t>Bordeaux-Strasse 5</w:t>
        <w:br/>
        <w:t>CH–4053 Basel</w:t>
      </w:r>
    </w:p>
    <w:p>
      <w:pPr>
        <w:pStyle w:val="BodyText"/>
        <w:bidi w:val="0"/>
        <w:spacing w:lineRule="auto" w:line="276" w:before="0" w:after="140"/>
        <w:jc w:val="start"/>
        <w:rPr/>
      </w:pPr>
      <w:r>
        <w:rPr/>
        <w:t>Mathias Forster</w:t>
        <w:br/>
        <w:t>Geschäftsführer</w:t>
        <w:br/>
      </w:r>
      <w:hyperlink r:id="rId5">
        <w:r>
          <w:rPr>
            <w:rStyle w:val="Hyperlink"/>
          </w:rPr>
          <w:t>m.forster@bio-stiftung.ch</w:t>
        </w:r>
      </w:hyperlink>
      <w:r>
        <w:rPr/>
        <w:br/>
        <w:t>+41 61 515 68 30</w:t>
      </w:r>
    </w:p>
    <w:p>
      <w:pPr>
        <w:pStyle w:val="BodyText"/>
        <w:bidi w:val="0"/>
        <w:spacing w:lineRule="auto" w:line="276" w:before="0" w:after="140"/>
        <w:jc w:val="start"/>
        <w:rPr/>
      </w:pPr>
      <w:hyperlink r:id="rId6">
        <w:r>
          <w:rPr>
            <w:rStyle w:val="Hyperlink"/>
          </w:rPr>
          <w:t>www.bodenfruchtbarkeit.bio</w:t>
        </w:r>
      </w:hyperlink>
      <w:r>
        <w:rPr/>
        <w:br/>
      </w:r>
      <w:hyperlink r:id="rId7">
        <w:r>
          <w:rPr>
            <w:rStyle w:val="Hyperlink"/>
          </w:rPr>
          <w:t>www.bio-stiftung.ch</w:t>
        </w:r>
      </w:hyperlink>
    </w:p>
    <w:p>
      <w:pPr>
        <w:pStyle w:val="BodyText"/>
        <w:bidi w:val="0"/>
        <w:spacing w:before="0" w:after="140"/>
        <w:jc w:val="start"/>
        <w:rPr>
          <w:rFonts w:ascii="AvenirNext LT Pro Regular" w:hAnsi="AvenirNext LT Pro Regular"/>
        </w:rPr>
      </w:pPr>
      <w:r>
        <w:rPr/>
      </w:r>
    </w:p>
    <w:sectPr>
      <w:headerReference w:type="even" r:id="rId8"/>
      <w:headerReference w:type="default" r:id="rId9"/>
      <w:headerReference w:type="first" r:id="rId10"/>
      <w:type w:val="nextPage"/>
      <w:pgSz w:w="11906" w:h="16838"/>
      <w:pgMar w:left="2551" w:right="1701" w:gutter="0" w:header="874" w:top="2092" w:footer="0" w:bottom="1134"/>
      <w:pgNumType w:fmt="decimal"/>
      <w:formProt w:val="false"/>
      <w:titlePg/>
      <w:textDirection w:val="lrTb"/>
      <w:docGrid w:type="default" w:linePitch="600" w:charSpace="3870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venirNext LT Pro Regular">
    <w:charset w:val="01"/>
    <w:family w:val="auto"/>
    <w:pitch w:val="default"/>
  </w:font>
  <w:font w:name="Liberation Serif">
    <w:altName w:val="Times New Roman"/>
    <w:charset w:val="01"/>
    <w:family w:val="roman"/>
    <w:pitch w:val="default"/>
  </w:font>
  <w:font w:name="OpenSymbol">
    <w:altName w:val="Arial Unicode MS"/>
    <w:charset w:val="01"/>
    <w:family w:val="auto"/>
    <w:pitch w:val="default"/>
  </w:font>
  <w:font w:name="AvenirNext LT Pro Bold">
    <w:charset w:val="01"/>
    <w:family w:val="auto"/>
    <w:pitch w:val="default"/>
  </w:font>
  <w:font w:name="AvenirNext LT Pro Regula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tabs>
        <w:tab w:val="center" w:pos="4819" w:leader="none"/>
        <w:tab w:val="left" w:pos="7311" w:leader="none"/>
        <w:tab w:val="right" w:pos="9638" w:leader="none"/>
      </w:tabs>
      <w:bidi w:val="0"/>
      <w:ind w:hanging="0" w:start="0" w:end="-567"/>
      <w:jc w:val="start"/>
      <w:rPr>
        <w:i/>
        <w:i/>
        <w:iCs/>
      </w:rPr>
    </w:pPr>
    <w:r>
      <w:rPr>
        <w:i/>
        <w:iCs/>
      </w:rPr>
      <w:t>Pressemitteilung Bodenfruchtbarkeitsfonds der Bio-Stiftung Schweiz</w:t>
      <w:tab/>
      <w:t xml:space="preserve">Seite </w:t>
    </w:r>
    <w:bookmarkStart w:id="0" w:name="PageNumWizard_HEADER_Standard2"/>
    <w:r>
      <w:rPr>
        <w:i/>
        <w:iCs/>
      </w:rPr>
      <w:fldChar w:fldCharType="begin"/>
    </w:r>
    <w:r>
      <w:rPr>
        <w:i/>
        <w:iCs/>
      </w:rPr>
      <w:instrText xml:space="preserve"> PAGE </w:instrText>
    </w:r>
    <w:r>
      <w:rPr>
        <w:i/>
        <w:iCs/>
      </w:rPr>
      <w:fldChar w:fldCharType="separate"/>
    </w:r>
    <w:r>
      <w:rPr>
        <w:i/>
        <w:iCs/>
      </w:rPr>
      <w:t>5</w:t>
    </w:r>
    <w:r>
      <w:rPr>
        <w:i/>
        <w:iCs/>
      </w:rPr>
      <w:fldChar w:fldCharType="end"/>
    </w:r>
    <w:bookmarkEnd w:id="0"/>
    <w:r>
      <w:rPr>
        <w:i/>
        <w:iCs/>
      </w:rPr>
      <w:t>/5</w:t>
    </w:r>
  </w:p>
  <w:p>
    <w:pPr>
      <w:pStyle w:val="HorizontaleLinieuser"/>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r>
      <w:rPr/>
      <w:t>Basel, 20. November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9"/>
  <w:mailMerge>
    <w:mainDocumentType w:val="formLetters"/>
    <w:dataType w:val="textFile"/>
    <w:query w:val="SELECT * FROM Versand_Adressen_2024-071.dbo.77_Abonnenten_77_Ex$"/>
  </w:mailMerge>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venirNext LT Pro Regular" w:hAnsi="AvenirNext LT Pro Regular" w:eastAsia="NSimSun" w:cs="Lucida Sans"/>
        <w:kern w:val="2"/>
        <w:sz w:val="21"/>
        <w:szCs w:val="24"/>
        <w:lang w:val="de-CH"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venirNext LT Pro Regular" w:hAnsi="AvenirNext LT Pro Regular" w:eastAsia="NSimSun" w:cs="Lucida Sans"/>
      <w:color w:val="auto"/>
      <w:kern w:val="2"/>
      <w:sz w:val="21"/>
      <w:szCs w:val="24"/>
      <w:lang w:val="de-CH" w:eastAsia="zh-CN" w:bidi="hi-IN"/>
    </w:rPr>
  </w:style>
  <w:style w:type="paragraph" w:styleId="Heading1">
    <w:name w:val="heading 1"/>
    <w:basedOn w:val="berschriftuser"/>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2">
    <w:name w:val="heading 2"/>
    <w:basedOn w:val="berschriftuser"/>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3">
    <w:name w:val="heading 3"/>
    <w:basedOn w:val="berschriftuser"/>
    <w:next w:val="BodyText"/>
    <w:qFormat/>
    <w:pPr>
      <w:numPr>
        <w:ilvl w:val="0"/>
        <w:numId w:val="0"/>
      </w:num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Aufzhlungszeichenuser">
    <w:name w:val="Aufzählungszeichen (user)"/>
    <w:qFormat/>
    <w:rPr>
      <w:rFonts w:ascii="OpenSymbol" w:hAnsi="OpenSymbol" w:eastAsia="OpenSymbol" w:cs="OpenSymbol"/>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AvenirNext LT Pro Bold" w:hAnsi="AvenirNext LT Pro Bold"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venirNext LT Pro Regular" w:hAnsi="AvenirNext LT Pro Regular" w:cs="Lucida Sans"/>
      <w:sz w:val="24"/>
    </w:rPr>
  </w:style>
  <w:style w:type="paragraph" w:styleId="Caption">
    <w:name w:val="caption"/>
    <w:basedOn w:val="Normal"/>
    <w:qFormat/>
    <w:pPr>
      <w:suppressLineNumbers/>
      <w:spacing w:before="120" w:after="120"/>
    </w:pPr>
    <w:rPr>
      <w:rFonts w:ascii="AvenirNext LT Pro Regular" w:hAnsi="AvenirNext LT Pro Regular" w:cs="Lucida Sans"/>
      <w:i/>
      <w:iCs/>
      <w:sz w:val="24"/>
      <w:szCs w:val="24"/>
    </w:rPr>
  </w:style>
  <w:style w:type="paragraph" w:styleId="Verzeichnis">
    <w:name w:val="Verzeichnis"/>
    <w:basedOn w:val="Normal"/>
    <w:qFormat/>
    <w:pPr>
      <w:suppressLineNumbers/>
    </w:pPr>
    <w:rPr>
      <w:rFonts w:ascii="AvenirNext LT Pro Regular" w:hAnsi="AvenirNext LT Pro Regular" w:cs="Lucida Sans"/>
      <w:sz w:val="24"/>
    </w:rPr>
  </w:style>
  <w:style w:type="paragraph" w:styleId="berschriftuser">
    <w:name w:val="Überschrift (user)"/>
    <w:basedOn w:val="Normal"/>
    <w:next w:val="BodyText"/>
    <w:qFormat/>
    <w:pPr>
      <w:keepNext w:val="true"/>
      <w:spacing w:before="240" w:after="120"/>
    </w:pPr>
    <w:rPr>
      <w:rFonts w:ascii="AvenirNext LT Pro Bold" w:hAnsi="AvenirNext LT Pro Bold" w:eastAsia="Microsoft YaHei" w:cs="Lucida Sans"/>
      <w:sz w:val="28"/>
      <w:szCs w:val="28"/>
    </w:rPr>
  </w:style>
  <w:style w:type="paragraph" w:styleId="Verzeichnisuser">
    <w:name w:val="Verzeichnis (user)"/>
    <w:basedOn w:val="Normal"/>
    <w:qFormat/>
    <w:pPr>
      <w:suppressLineNumbers/>
    </w:pPr>
    <w:rPr>
      <w:rFonts w:ascii="AvenirNext LT Pro Regular" w:hAnsi="AvenirNext LT Pro Regular" w:cs="Lucida Sans"/>
      <w:sz w:val="24"/>
    </w:rPr>
  </w:style>
  <w:style w:type="paragraph" w:styleId="HorizontaleLinieuser">
    <w:name w:val="Horizontale Linie (user)"/>
    <w:basedOn w:val="Normal"/>
    <w:next w:val="BodyText"/>
    <w:qFormat/>
    <w:pPr>
      <w:suppressLineNumbers/>
      <w:pBdr>
        <w:bottom w:val="double" w:sz="2" w:space="0" w:color="808080"/>
      </w:pBdr>
      <w:spacing w:before="0" w:after="283"/>
    </w:pPr>
    <w:rPr>
      <w:sz w:val="12"/>
      <w:szCs w:val="12"/>
    </w:rPr>
  </w:style>
  <w:style w:type="paragraph" w:styleId="Kopf-Fuzeileuser">
    <w:name w:val="Kopf-/Fußzeile (user)"/>
    <w:basedOn w:val="Normal"/>
    <w:qFormat/>
    <w:pPr>
      <w:suppressLineNumbers/>
      <w:tabs>
        <w:tab w:val="clear" w:pos="709"/>
        <w:tab w:val="center" w:pos="4819" w:leader="none"/>
        <w:tab w:val="right" w:pos="9638" w:leader="none"/>
      </w:tabs>
    </w:pPr>
    <w:rPr/>
  </w:style>
  <w:style w:type="paragraph" w:styleId="Kopf-Fuzeile">
    <w:name w:val="Kopf-/Fußzeile"/>
    <w:basedOn w:val="Normal"/>
    <w:qFormat/>
    <w:pPr/>
    <w:rPr/>
  </w:style>
  <w:style w:type="paragraph" w:styleId="Header">
    <w:name w:val="header"/>
    <w:basedOn w:val="Kopf-Fuzeil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o-stiftung.ch/wp-content/uploads/2025/11/Pressemitteilung.docx" TargetMode="External"/><Relationship Id="rId3" Type="http://schemas.openxmlformats.org/officeDocument/2006/relationships/hyperlink" Target="https://www.bio-stiftung.ch/wp-content/uploads/2025/11/Mathias_Forster_c_Bio-Stiftung_Schweiz.jpg" TargetMode="External"/><Relationship Id="rId4" Type="http://schemas.openxmlformats.org/officeDocument/2006/relationships/hyperlink" Target="https://www.bio-stiftung.ch/wp-content/uploads/2025/11/Uli_Hampl_c_Bio-Stiftung_Schweiz.jpg" TargetMode="External"/><Relationship Id="rId5" Type="http://schemas.openxmlformats.org/officeDocument/2006/relationships/hyperlink" Target="mailto:m.forster@bio-stiftung.ch" TargetMode="External"/><Relationship Id="rId6" Type="http://schemas.openxmlformats.org/officeDocument/2006/relationships/hyperlink" Target="http://www.bodenfruchtbarkeit.bio/" TargetMode="External"/><Relationship Id="rId7" Type="http://schemas.openxmlformats.org/officeDocument/2006/relationships/hyperlink" Target="http://www.bio-stiftung.ch/"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174</TotalTime>
  <Application>LibreOffice/25.8.1.1$Windows_X86_64 LibreOffice_project/54047653041915e595ad4e45cccea684809c77b5</Application>
  <AppVersion>15.0000</AppVersion>
  <Pages>5</Pages>
  <Words>878</Words>
  <Characters>6814</Characters>
  <CharactersWithSpaces>7613</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2025-11-17T11:00:45Z</dcterms:created>
  <dc:creator/>
  <dc:description/>
  <dc:language>de-CH</dc:language>
  <cp:lastModifiedBy/>
  <cp:lastPrinted>2025-11-17T15:19:20Z</cp:lastPrinted>
  <dcterms:modified xsi:type="dcterms:W3CDTF">2025-11-19T21:16:20Z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